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巴彦淖尔市生态环境局</w:t>
      </w:r>
    </w:p>
    <w:p>
      <w:pPr>
        <w:pStyle w:val="4"/>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关于“建林建材等3家公司和新道村东侧煤场粉状物料露天堆存”整改任务的自评报告</w:t>
      </w:r>
    </w:p>
    <w:p>
      <w:pPr>
        <w:rPr>
          <w:rFonts w:hint="default"/>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按照《巴彦淖尔市贯彻落实第二轮自治区生态环境保护督察报告整改方案》《关于做好第二轮自治区生态环境保护督察报告和2023年度自治区黄河流域生态环境警示片反馈整改任务销号工作的通知》要求，市生态环境局组织相关地区完成了“建林建材等3家公司和新道村东侧煤场粉状物料露天堆存”问题的整改工作，相关整改措施全部完成，达到了整改目标要求，现申请履行销号程序。</w:t>
      </w:r>
    </w:p>
    <w:p>
      <w:pPr>
        <w:pStyle w:val="2"/>
        <w:keepNext w:val="0"/>
        <w:keepLines w:val="0"/>
        <w:pageBreakBefore w:val="0"/>
        <w:widowControl w:val="0"/>
        <w:kinsoku/>
        <w:wordWrap/>
        <w:overflowPunct/>
        <w:topLinePunct w:val="0"/>
        <w:autoSpaceDE/>
        <w:autoSpaceDN/>
        <w:bidi w:val="0"/>
        <w:adjustRightInd/>
        <w:snapToGrid/>
        <w:spacing w:after="0" w:line="600" w:lineRule="exact"/>
        <w:ind w:left="0" w:leftChars="0"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一、整改措施落实情况</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eastAsia="仿宋_GB2312" w:cs="Times New Roman"/>
          <w:sz w:val="32"/>
          <w:szCs w:val="32"/>
          <w:lang w:val="en-US" w:eastAsia="zh-CN"/>
        </w:rPr>
      </w:pPr>
      <w:r>
        <w:rPr>
          <w:rFonts w:hint="eastAsia" w:ascii="楷体" w:hAnsi="楷体" w:eastAsia="楷体" w:cs="楷体"/>
          <w:b/>
          <w:bCs/>
          <w:sz w:val="32"/>
          <w:szCs w:val="32"/>
          <w:lang w:val="en-US" w:eastAsia="zh-CN"/>
        </w:rPr>
        <w:t>（一）在加大企业检查频次，确保物料进仓或有效苫盖，杜绝露天堆放物料现象措施方面。</w:t>
      </w:r>
      <w:r>
        <w:rPr>
          <w:rFonts w:hint="eastAsia" w:ascii="仿宋_GB2312" w:eastAsia="仿宋_GB2312" w:cs="Times New Roman"/>
          <w:sz w:val="32"/>
          <w:szCs w:val="32"/>
          <w:lang w:val="en-US" w:eastAsia="zh-CN"/>
        </w:rPr>
        <w:t>恒泰建材、五鑫商砼、建林建材3家建材公司已将院内堆放的商砼废料全部清理，粉状物料全部入库储存，块状物料全部苫盖。建林建材公司对裸露场地已完成混凝土硬化工程；已加大对建林建材等3家企业检查频次和监管力度，要求企业做好洒水抑尘，防止扬尘污染，并长期坚持。</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jc w:val="both"/>
        <w:textAlignment w:val="auto"/>
        <w:rPr>
          <w:rFonts w:hint="eastAsia" w:ascii="仿宋_GB2312" w:hAnsi="仿宋_GB2312" w:eastAsia="仿宋_GB2312" w:cs="仿宋_GB2312"/>
          <w:b w:val="0"/>
          <w:bCs w:val="0"/>
          <w:sz w:val="32"/>
          <w:szCs w:val="32"/>
          <w:lang w:val="en-US" w:eastAsia="zh-CN"/>
        </w:rPr>
      </w:pPr>
      <w:r>
        <w:rPr>
          <w:rFonts w:hint="eastAsia" w:ascii="楷体" w:hAnsi="楷体" w:eastAsia="楷体" w:cs="楷体"/>
          <w:b/>
          <w:bCs/>
          <w:sz w:val="32"/>
          <w:szCs w:val="32"/>
          <w:lang w:val="en-US" w:eastAsia="zh-CN"/>
        </w:rPr>
        <w:t>（二）在</w:t>
      </w:r>
      <w:r>
        <w:rPr>
          <w:rFonts w:hint="eastAsia" w:ascii="楷体" w:hAnsi="楷体" w:eastAsia="楷体" w:cs="楷体"/>
          <w:sz w:val="32"/>
          <w:szCs w:val="32"/>
        </w:rPr>
        <w:t>2024</w:t>
      </w:r>
      <w:r>
        <w:rPr>
          <w:rFonts w:hint="eastAsia" w:ascii="楷体" w:hAnsi="楷体" w:eastAsia="楷体" w:cs="楷体"/>
          <w:b/>
          <w:bCs/>
          <w:sz w:val="32"/>
          <w:szCs w:val="32"/>
          <w:lang w:val="en-US" w:eastAsia="zh-CN"/>
        </w:rPr>
        <w:t>年12月底前，责令企业完成露天堆存物料清理整改工作措施方面。</w:t>
      </w:r>
      <w:r>
        <w:rPr>
          <w:rFonts w:hint="eastAsia" w:ascii="仿宋_GB2312" w:hAnsi="仿宋_GB2312" w:eastAsia="仿宋_GB2312" w:cs="仿宋_GB2312"/>
          <w:b w:val="0"/>
          <w:bCs w:val="0"/>
          <w:sz w:val="32"/>
          <w:szCs w:val="32"/>
          <w:lang w:val="en-US" w:eastAsia="zh-CN"/>
        </w:rPr>
        <w:t>新道村东侧共有3家堆煤企业（分别为蒙川煤业、先华煤场、八一付维平煤场），目前蒙川煤业和先华煤场已将堆煤全部清理，八一付维平煤场，已将煤堆全部苫盖。</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二、整改目标完成情况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整改方案》要求“清理露天堆存物料，全部进仓进库或进行苫盖”，4家企业均采取了扬尘管控措施，市生态环境局已要求临河区政府和经济技术开发区加大对相关区域露天物料堆存管控。经现场验收，基本达到了整改目标要求。</w:t>
      </w:r>
    </w:p>
    <w:p>
      <w:pPr>
        <w:pStyle w:val="2"/>
        <w:keepNext w:val="0"/>
        <w:keepLines w:val="0"/>
        <w:pageBreakBefore w:val="0"/>
        <w:widowControl w:val="0"/>
        <w:kinsoku/>
        <w:wordWrap/>
        <w:overflowPunct/>
        <w:topLinePunct w:val="0"/>
        <w:autoSpaceDE/>
        <w:autoSpaceDN/>
        <w:bidi w:val="0"/>
        <w:adjustRightInd/>
        <w:snapToGrid/>
        <w:spacing w:after="0"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三、相关制度机制建设情况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default" w:ascii="仿宋_GB2312" w:eastAsia="仿宋_GB2312" w:cs="Times New Roman"/>
          <w:sz w:val="32"/>
          <w:szCs w:val="32"/>
          <w:lang w:val="en-US" w:eastAsia="zh-CN"/>
        </w:rPr>
      </w:pPr>
      <w:r>
        <w:rPr>
          <w:rFonts w:hint="eastAsia" w:ascii="仿宋_GB2312" w:eastAsia="仿宋_GB2312" w:cs="Times New Roman"/>
          <w:sz w:val="32"/>
          <w:szCs w:val="32"/>
          <w:lang w:val="en-US" w:eastAsia="zh-CN"/>
        </w:rPr>
        <w:t>临河区人民政府印发了《临河区大气污染防治分区管控方案》，巴彦淖尔经济技术开发区制定了《扬尘污染治理方案》，全面加强了对露天堆存物料的管控。</w:t>
      </w:r>
      <w:bookmarkStart w:id="0" w:name="_GoBack"/>
      <w:bookmarkEnd w:id="0"/>
    </w:p>
    <w:p>
      <w:pPr>
        <w:pStyle w:val="4"/>
        <w:keepNext w:val="0"/>
        <w:keepLines w:val="0"/>
        <w:pageBreakBefore w:val="0"/>
        <w:widowControl w:val="0"/>
        <w:kinsoku/>
        <w:wordWrap/>
        <w:overflowPunct/>
        <w:topLinePunct w:val="0"/>
        <w:autoSpaceDE/>
        <w:autoSpaceDN/>
        <w:bidi w:val="0"/>
        <w:adjustRightInd/>
        <w:spacing w:line="600" w:lineRule="exac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p>
    <w:p>
      <w:pPr>
        <w:pStyle w:val="4"/>
        <w:keepNext w:val="0"/>
        <w:keepLines w:val="0"/>
        <w:pageBreakBefore w:val="0"/>
        <w:widowControl w:val="0"/>
        <w:kinsoku/>
        <w:wordWrap/>
        <w:overflowPunct/>
        <w:topLinePunct w:val="0"/>
        <w:autoSpaceDE/>
        <w:autoSpaceDN/>
        <w:bidi w:val="0"/>
        <w:adjustRightInd/>
        <w:spacing w:line="600" w:lineRule="exact"/>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 xml:space="preserve">   </w:t>
      </w:r>
    </w:p>
    <w:p/>
    <w:sectPr>
      <w:footerReference r:id="rId3" w:type="default"/>
      <w:footerReference r:id="rId4" w:type="even"/>
      <w:pgSz w:w="11906" w:h="16838"/>
      <w:pgMar w:top="1474" w:right="1587" w:bottom="147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Style w:val="8"/>
                            </w:rPr>
                          </w:pPr>
                          <w:r>
                            <w:rPr>
                              <w:rStyle w:val="8"/>
                              <w:rFonts w:hint="eastAsia" w:asciiTheme="minorEastAsia" w:hAnsiTheme="minorEastAsia" w:eastAsiaTheme="minorEastAsia" w:cstheme="minorEastAsia"/>
                              <w:sz w:val="28"/>
                              <w:szCs w:val="28"/>
                            </w:rPr>
                            <w:fldChar w:fldCharType="begin"/>
                          </w:r>
                          <w:r>
                            <w:rPr>
                              <w:rStyle w:val="8"/>
                              <w:rFonts w:hint="eastAsia" w:asciiTheme="minorEastAsia" w:hAnsiTheme="minorEastAsia" w:eastAsiaTheme="minorEastAsia" w:cstheme="minorEastAsia"/>
                              <w:sz w:val="28"/>
                              <w:szCs w:val="28"/>
                            </w:rPr>
                            <w:instrText xml:space="preserve">PAGE  </w:instrText>
                          </w:r>
                          <w:r>
                            <w:rPr>
                              <w:rStyle w:val="8"/>
                              <w:rFonts w:hint="eastAsia" w:asciiTheme="minorEastAsia" w:hAnsiTheme="minorEastAsia" w:eastAsiaTheme="minorEastAsia" w:cstheme="minorEastAsia"/>
                              <w:sz w:val="28"/>
                              <w:szCs w:val="28"/>
                            </w:rPr>
                            <w:fldChar w:fldCharType="separate"/>
                          </w:r>
                          <w:r>
                            <w:rPr>
                              <w:rStyle w:val="8"/>
                              <w:rFonts w:hint="eastAsia" w:asciiTheme="minorEastAsia" w:hAnsiTheme="minorEastAsia" w:eastAsiaTheme="minorEastAsia" w:cstheme="minorEastAsia"/>
                              <w:sz w:val="28"/>
                              <w:szCs w:val="28"/>
                            </w:rPr>
                            <w:t>1</w:t>
                          </w:r>
                          <w:r>
                            <w:rPr>
                              <w:rStyle w:val="8"/>
                              <w:rFonts w:hint="eastAsia" w:asciiTheme="minorEastAsia" w:hAnsiTheme="minorEastAsia" w:eastAsiaTheme="minorEastAsia" w:cstheme="minorEastAsia"/>
                              <w:sz w:val="28"/>
                              <w:szCs w:val="28"/>
                            </w:rPr>
                            <w:fldChar w:fldCharType="end"/>
                          </w:r>
                        </w:p>
                      </w:txbxContent>
                    </wps:txbx>
                    <wps:bodyPr wrap="none" lIns="0" tIns="0" rIns="0" bIns="0" upright="0">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qXIvPLAQAAnAMAAA4AAAAAAAAAAQAgAAAAHgEAAGRycy9lMm9E&#10;b2MueG1sUEsFBgAAAAAGAAYAWQEAAFsFAAAAAA==&#10;">
              <v:fill on="f" focussize="0,0"/>
              <v:stroke on="f"/>
              <v:imagedata o:title=""/>
              <o:lock v:ext="edit" aspectratio="f"/>
              <v:textbox inset="0mm,0mm,0mm,0mm" style="mso-fit-shape-to-text:t;">
                <w:txbxContent>
                  <w:p>
                    <w:pPr>
                      <w:pStyle w:val="5"/>
                      <w:rPr>
                        <w:rStyle w:val="8"/>
                      </w:rPr>
                    </w:pPr>
                    <w:r>
                      <w:rPr>
                        <w:rStyle w:val="8"/>
                        <w:rFonts w:hint="eastAsia" w:asciiTheme="minorEastAsia" w:hAnsiTheme="minorEastAsia" w:eastAsiaTheme="minorEastAsia" w:cstheme="minorEastAsia"/>
                        <w:sz w:val="28"/>
                        <w:szCs w:val="28"/>
                      </w:rPr>
                      <w:fldChar w:fldCharType="begin"/>
                    </w:r>
                    <w:r>
                      <w:rPr>
                        <w:rStyle w:val="8"/>
                        <w:rFonts w:hint="eastAsia" w:asciiTheme="minorEastAsia" w:hAnsiTheme="minorEastAsia" w:eastAsiaTheme="minorEastAsia" w:cstheme="minorEastAsia"/>
                        <w:sz w:val="28"/>
                        <w:szCs w:val="28"/>
                      </w:rPr>
                      <w:instrText xml:space="preserve">PAGE  </w:instrText>
                    </w:r>
                    <w:r>
                      <w:rPr>
                        <w:rStyle w:val="8"/>
                        <w:rFonts w:hint="eastAsia" w:asciiTheme="minorEastAsia" w:hAnsiTheme="minorEastAsia" w:eastAsiaTheme="minorEastAsia" w:cstheme="minorEastAsia"/>
                        <w:sz w:val="28"/>
                        <w:szCs w:val="28"/>
                      </w:rPr>
                      <w:fldChar w:fldCharType="separate"/>
                    </w:r>
                    <w:r>
                      <w:rPr>
                        <w:rStyle w:val="8"/>
                        <w:rFonts w:hint="eastAsia" w:asciiTheme="minorEastAsia" w:hAnsiTheme="minorEastAsia" w:eastAsiaTheme="minorEastAsia" w:cstheme="minorEastAsia"/>
                        <w:sz w:val="28"/>
                        <w:szCs w:val="28"/>
                      </w:rPr>
                      <w:t>1</w:t>
                    </w:r>
                    <w:r>
                      <w:rPr>
                        <w:rStyle w:val="8"/>
                        <w:rFonts w:hint="eastAsia" w:asciiTheme="minorEastAsia" w:hAnsiTheme="minorEastAsia" w:eastAsiaTheme="minorEastAsia" w:cstheme="minorEastAsia"/>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F6471E"/>
    <w:rsid w:val="1A792476"/>
    <w:rsid w:val="1DBB10C9"/>
    <w:rsid w:val="31784066"/>
    <w:rsid w:val="34CA0CC5"/>
    <w:rsid w:val="4F7D1734"/>
    <w:rsid w:val="5270766B"/>
    <w:rsid w:val="5DB72399"/>
    <w:rsid w:val="75276A4C"/>
    <w:rsid w:val="78BFA012"/>
    <w:rsid w:val="EA7A9A51"/>
    <w:rsid w:val="EFA74DC7"/>
    <w:rsid w:val="F7DEA3B2"/>
    <w:rsid w:val="FB3FF7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qFormat/>
    <w:uiPriority w:val="0"/>
    <w:pPr>
      <w:ind w:firstLine="420" w:firstLineChars="100"/>
    </w:pPr>
    <w:rPr>
      <w:rFonts w:ascii="Calibri" w:hAnsi="Calibri"/>
      <w:szCs w:val="26"/>
    </w:rPr>
  </w:style>
  <w:style w:type="paragraph" w:styleId="3">
    <w:name w:val="Body Text"/>
    <w:basedOn w:val="1"/>
    <w:next w:val="1"/>
    <w:qFormat/>
    <w:uiPriority w:val="99"/>
    <w:pPr>
      <w:spacing w:after="120"/>
    </w:p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er"/>
    <w:basedOn w:val="1"/>
    <w:qFormat/>
    <w:uiPriority w:val="99"/>
    <w:pPr>
      <w:tabs>
        <w:tab w:val="center" w:pos="4153"/>
        <w:tab w:val="right" w:pos="8306"/>
      </w:tabs>
      <w:snapToGrid w:val="0"/>
      <w:jc w:val="left"/>
    </w:pPr>
    <w:rPr>
      <w:sz w:val="18"/>
      <w:szCs w:val="18"/>
    </w:rPr>
  </w:style>
  <w:style w:type="character" w:styleId="8">
    <w:name w:val="page number"/>
    <w:basedOn w:val="7"/>
    <w:qFormat/>
    <w:uiPriority w:val="99"/>
    <w:rPr>
      <w:rFonts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693</Words>
  <Characters>700</Characters>
  <Lines>0</Lines>
  <Paragraphs>0</Paragraphs>
  <TotalTime>7</TotalTime>
  <ScaleCrop>false</ScaleCrop>
  <LinksUpToDate>false</LinksUpToDate>
  <CharactersWithSpaces>707</CharactersWithSpaces>
  <Application>WPS Office_11.8.2.12187_F1E327BC-269C-435d-A152-05C5408002CA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2024-09-25T18:06:00Z</dcterms:created>
  <dc:creator>Administrator</dc:creator>
  <cp:lastModifiedBy>Administrator</cp:lastModifiedBy>
  <cp:lastPrinted>2024-09-27T23:20:00Z</cp:lastPrinted>
  <dcterms:modified xsi:type="dcterms:W3CDTF">2024-12-17T07:11:53Z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2052-11.8.2.12187</vt:lpwstr>
  </property>
  <property fmtid="{D5CDD505-2E9C-101B-9397-08002B2CF9AE}" pid="3" name="ICV">
    <vt:lpwstr>FF181AF89A8B4D62B5A133DCA04DA7C6</vt:lpwstr>
  </property>
</Properties>
</file>