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巴彦淖尔市生态环境局</w:t>
      </w:r>
    </w:p>
    <w:p>
      <w:pPr>
        <w:pStyle w:val="4"/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关于“包钢庆华煤化工公司熄焦废水化学需氧量、挥发酚分别超出标准4倍和1.6倍，污染物以气态形式直排”整改任务的自评报告</w:t>
      </w:r>
    </w:p>
    <w:p>
      <w:pPr>
        <w:rPr>
          <w:rFonts w:hint="default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按照《巴彦淖尔市贯彻落实第二轮自治区生态环境保护督察报告整改方案》《关于做好第二轮自治区生态环境保护督察报告和2023年度自治区黄河流域生态环境警示片反馈整改任务销号工作的通知》要求，市生态环境局组织相关地区完成了“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3"/>
          <w:kern w:val="0"/>
          <w:sz w:val="32"/>
          <w:szCs w:val="32"/>
          <w:lang w:val="en-US" w:eastAsia="zh-CN" w:bidi="ar-SA"/>
        </w:rPr>
        <w:t>包钢庆华煤化工公司熄焦废水化学需氧量、挥发酚分别超出标准4倍和1.6倍，污染物以气态形式直排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”问题的整改工作，相关整改措施全部完成，达到了整改目标要求，现申请履行销号程序。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60" w:lineRule="exact"/>
        <w:ind w:left="0" w:leftChars="0" w:firstLine="640" w:firstLineChars="200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一、整改措施落实情况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(一)2024年12月底前，包钢庆华煤化工有限公司停用湿法熄焦设施，投运干法熄焦系统，并完成验收。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按照《巴彦淖尔市贯彻落实第二轮自治区生态环境保护督察报告整改方案》，</w:t>
      </w:r>
      <w:r>
        <w:rPr>
          <w:rFonts w:hint="eastAsia" w:ascii="仿宋_GB2312" w:hAnsi="仿宋_GB2312" w:eastAsia="仿宋_GB2312" w:cs="仿宋_GB2312"/>
          <w:b w:val="0"/>
          <w:bCs w:val="0"/>
          <w:spacing w:val="-5"/>
          <w:sz w:val="32"/>
          <w:szCs w:val="32"/>
          <w:lang w:val="en-US" w:eastAsia="zh-CN"/>
        </w:rPr>
        <w:t>包钢庆华210万吨焦化项目建设有4座5.5米捣固焦炉，配套建设2套干熄焦装置，1#干熄焦于2023年3月26日正式投运。2024年2月25日，2#干熄焦系统正式投运。2024年11月23日完成公司干熄焦系统环境保护竣工验收工作。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3" w:firstLineChars="200"/>
        <w:jc w:val="both"/>
        <w:textAlignment w:val="auto"/>
        <w:rPr>
          <w:rFonts w:hint="default" w:ascii="楷体_GB2312" w:hAnsi="楷体_GB2312" w:eastAsia="楷体_GB2312" w:cs="楷体_GB2312"/>
          <w:b/>
          <w:bCs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  <w:lang w:val="en-US" w:eastAsia="zh-CN"/>
        </w:rPr>
        <w:t>（二）将该企业列入2024年度执法监测名单，确保污染物排放稳定达标。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2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pacing w:val="-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-5"/>
          <w:sz w:val="32"/>
          <w:szCs w:val="32"/>
          <w:lang w:val="en-US" w:eastAsia="zh-CN"/>
        </w:rPr>
        <w:t>已将企业列入《2024年巴彦淖尔市生态环境监测方案》，并对企业进行监测，根据监测报告（LJHB-2024-Q-44-04）显示，企业污染物排放符合《火电厂大气污染物排放标准》(GB13223-2011 )表1;《炼焦化学工业污染物排放标准》（GB16171-2012）表5标准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二、整改目标完成情况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按照《整改方案》要求，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企业已于2024年11月底完成所有生产线的干熄焦建设并全部投入使用，经生态环境部门的执法检没，该企业污染物达标排放，达到了整改目标要求。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三、相关制度机制建设情况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为全力推动整改任务达到整改目标要求，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从严从实、不折不扣推动问题整改工作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，乌拉特前旗分局印发了《贯彻落实第二轮自治区生态环境保护督察报告整改方案责任分工》，全面加强对“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3"/>
          <w:kern w:val="0"/>
          <w:sz w:val="32"/>
          <w:szCs w:val="32"/>
          <w:lang w:val="en-US" w:eastAsia="zh-CN" w:bidi="ar-SA"/>
        </w:rPr>
        <w:t>包钢庆华煤化工公司熄焦废水化学需氧量、挥发酚分别超出标准4倍和1.6倍，污染物以气态形式直排</w:t>
      </w:r>
      <w:r>
        <w:rPr>
          <w:rFonts w:hint="eastAsia" w:ascii="仿宋_GB2312" w:eastAsia="仿宋_GB2312" w:cs="Times New Roman"/>
          <w:sz w:val="32"/>
          <w:szCs w:val="32"/>
          <w:lang w:val="en-US" w:eastAsia="zh-CN"/>
        </w:rPr>
        <w:t>”整改情况的监管力度，严格落实整改目标要求。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jc w:val="both"/>
        <w:textAlignment w:val="auto"/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74" w:right="1587" w:bottom="1474" w:left="1587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A7B028B-D099-4C29-ABEF-B23B21D1986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  <w:embedRegular r:id="rId2" w:fontKey="{2DBDA96F-076E-4C64-A507-E8BA8310891F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3" w:fontKey="{019073B0-47A8-41AD-AC34-1D18656B345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FC63B2AE-0C55-4D5F-B46D-EB5717F05CD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867AF603-B217-496F-AC07-9B53DF1DEA20}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Style w:val="8"/>
                            </w:rPr>
                          </w:pP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Style w:val="8"/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8"/>
                      </w:rPr>
                    </w:pP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Style w:val="8"/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365AF"/>
    <w:rsid w:val="2BBF5FEE"/>
    <w:rsid w:val="2EA55278"/>
    <w:rsid w:val="2EF67582"/>
    <w:rsid w:val="31784066"/>
    <w:rsid w:val="4F7D1734"/>
    <w:rsid w:val="5270766B"/>
    <w:rsid w:val="5D03563B"/>
    <w:rsid w:val="6E402101"/>
    <w:rsid w:val="7AC74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99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"/>
    <w:basedOn w:val="2"/>
    <w:next w:val="4"/>
    <w:qFormat/>
    <w:uiPriority w:val="0"/>
    <w:pPr>
      <w:ind w:firstLine="420" w:firstLineChars="100"/>
    </w:pPr>
    <w:rPr>
      <w:rFonts w:ascii="Calibri" w:hAnsi="Calibri"/>
      <w:szCs w:val="26"/>
    </w:rPr>
  </w:style>
  <w:style w:type="character" w:styleId="8">
    <w:name w:val="page number"/>
    <w:basedOn w:val="7"/>
    <w:qFormat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811</Words>
  <Characters>894</Characters>
  <Lines>0</Lines>
  <Paragraphs>0</Paragraphs>
  <TotalTime>19</TotalTime>
  <ScaleCrop>false</ScaleCrop>
  <LinksUpToDate>false</LinksUpToDate>
  <CharactersWithSpaces>895</CharactersWithSpaces>
  <Application>WPS Office_11.8.2.12187_F1E327BC-269C-435d-A152-05C5408002CA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2024-09-24T02:06:00Z</dcterms:created>
  <dc:creator>Administrator</dc:creator>
  <cp:lastModifiedBy>Administrator</cp:lastModifiedBy>
  <cp:lastPrinted>2024-12-11T02:25:00Z</cp:lastPrinted>
  <dcterms:modified xsi:type="dcterms:W3CDTF">2024-12-17T07:12:50Z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2052-11.8.2.12187</vt:lpwstr>
  </property>
  <property fmtid="{D5CDD505-2E9C-101B-9397-08002B2CF9AE}" pid="3" name="ICV">
    <vt:lpwstr>FF181AF89A8B4D62B5A133DCA04DA7C6</vt:lpwstr>
  </property>
</Properties>
</file>